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F639" w14:textId="77777777" w:rsidR="006028FE" w:rsidRPr="006028FE" w:rsidRDefault="006028FE" w:rsidP="00F165F8">
      <w:pPr>
        <w:shd w:val="clear" w:color="auto" w:fill="FFFFFF"/>
        <w:spacing w:after="0" w:line="288" w:lineRule="atLeast"/>
        <w:outlineLvl w:val="0"/>
        <w:rPr>
          <w:rFonts w:ascii="Georgia" w:eastAsia="Times New Roman" w:hAnsi="Georgia" w:cs="Times New Roman"/>
          <w:b/>
          <w:kern w:val="36"/>
          <w:sz w:val="32"/>
          <w:szCs w:val="32"/>
        </w:rPr>
      </w:pPr>
      <w:r w:rsidRPr="006028FE">
        <w:rPr>
          <w:rFonts w:ascii="Georgia" w:eastAsia="Times New Roman" w:hAnsi="Georgia" w:cs="Times New Roman"/>
          <w:b/>
          <w:noProof/>
          <w:kern w:val="36"/>
        </w:rPr>
        <w:drawing>
          <wp:anchor distT="0" distB="0" distL="114300" distR="114300" simplePos="0" relativeHeight="251658240" behindDoc="0" locked="0" layoutInCell="1" allowOverlap="1" wp14:anchorId="3648FB35" wp14:editId="28D9F393">
            <wp:simplePos x="0" y="0"/>
            <wp:positionH relativeFrom="margin">
              <wp:align>right</wp:align>
            </wp:positionH>
            <wp:positionV relativeFrom="paragraph">
              <wp:posOffset>0</wp:posOffset>
            </wp:positionV>
            <wp:extent cx="828675" cy="1011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11555"/>
                    </a:xfrm>
                    <a:prstGeom prst="rect">
                      <a:avLst/>
                    </a:prstGeom>
                  </pic:spPr>
                </pic:pic>
              </a:graphicData>
            </a:graphic>
          </wp:anchor>
        </w:drawing>
      </w:r>
      <w:r w:rsidRPr="006028FE">
        <w:rPr>
          <w:rFonts w:ascii="Georgia" w:eastAsia="Times New Roman" w:hAnsi="Georgia" w:cs="Times New Roman"/>
          <w:b/>
          <w:kern w:val="36"/>
          <w:sz w:val="32"/>
          <w:szCs w:val="32"/>
        </w:rPr>
        <w:t xml:space="preserve">Water </w:t>
      </w:r>
      <w:r w:rsidR="007143CE">
        <w:rPr>
          <w:rFonts w:ascii="Georgia" w:eastAsia="Times New Roman" w:hAnsi="Georgia" w:cs="Times New Roman"/>
          <w:b/>
          <w:kern w:val="36"/>
          <w:sz w:val="32"/>
          <w:szCs w:val="32"/>
        </w:rPr>
        <w:t>Quality Summary</w:t>
      </w:r>
    </w:p>
    <w:p w14:paraId="6B0BD07C" w14:textId="77777777" w:rsidR="006028FE" w:rsidRDefault="000C3D55" w:rsidP="00F165F8">
      <w:pPr>
        <w:shd w:val="clear" w:color="auto" w:fill="FFFFFF"/>
        <w:spacing w:after="0" w:line="288" w:lineRule="atLeast"/>
        <w:outlineLvl w:val="0"/>
        <w:rPr>
          <w:rFonts w:ascii="Georgia" w:eastAsia="Times New Roman" w:hAnsi="Georgia" w:cs="Times New Roman"/>
          <w:b/>
          <w:kern w:val="36"/>
          <w:sz w:val="32"/>
          <w:szCs w:val="32"/>
        </w:rPr>
      </w:pPr>
      <w:r>
        <w:rPr>
          <w:rFonts w:ascii="Georgia" w:eastAsia="Times New Roman" w:hAnsi="Georgia" w:cs="Times New Roman"/>
          <w:b/>
          <w:kern w:val="36"/>
          <w:sz w:val="32"/>
          <w:szCs w:val="32"/>
        </w:rPr>
        <w:t>McCabe’s Brook</w:t>
      </w:r>
      <w:r w:rsidR="007143CE">
        <w:rPr>
          <w:rFonts w:ascii="Georgia" w:eastAsia="Times New Roman" w:hAnsi="Georgia" w:cs="Times New Roman"/>
          <w:b/>
          <w:kern w:val="36"/>
          <w:sz w:val="32"/>
          <w:szCs w:val="32"/>
        </w:rPr>
        <w:t>, 2017</w:t>
      </w:r>
    </w:p>
    <w:p w14:paraId="3F4A057B" w14:textId="77777777" w:rsidR="006028FE" w:rsidRDefault="006028FE" w:rsidP="00F165F8">
      <w:pPr>
        <w:shd w:val="clear" w:color="auto" w:fill="FFFFFF"/>
        <w:spacing w:after="0" w:line="288" w:lineRule="atLeast"/>
        <w:outlineLvl w:val="0"/>
        <w:rPr>
          <w:rFonts w:ascii="Georgia" w:eastAsia="Times New Roman" w:hAnsi="Georgia" w:cs="Times New Roman"/>
          <w:b/>
          <w:kern w:val="36"/>
          <w:sz w:val="32"/>
          <w:szCs w:val="32"/>
        </w:rPr>
      </w:pPr>
    </w:p>
    <w:p w14:paraId="15C110D5" w14:textId="77777777" w:rsidR="00E05F4E" w:rsidRDefault="00E05F4E" w:rsidP="00F165F8">
      <w:pPr>
        <w:shd w:val="clear" w:color="auto" w:fill="FFFFFF"/>
        <w:spacing w:after="0" w:line="288" w:lineRule="atLeast"/>
        <w:outlineLvl w:val="0"/>
        <w:rPr>
          <w:rFonts w:ascii="Georgia" w:eastAsia="Times New Roman" w:hAnsi="Georgia" w:cs="Times New Roman"/>
          <w:b/>
          <w:kern w:val="36"/>
        </w:rPr>
      </w:pPr>
    </w:p>
    <w:p w14:paraId="2AAF8A5B" w14:textId="77777777" w:rsidR="00E05F4E" w:rsidRDefault="00E05F4E" w:rsidP="00F165F8">
      <w:pPr>
        <w:shd w:val="clear" w:color="auto" w:fill="FFFFFF"/>
        <w:spacing w:after="0" w:line="288" w:lineRule="atLeast"/>
        <w:outlineLvl w:val="0"/>
        <w:rPr>
          <w:rFonts w:ascii="Georgia" w:eastAsia="Times New Roman" w:hAnsi="Georgia" w:cs="Times New Roman"/>
          <w:b/>
          <w:kern w:val="36"/>
        </w:rPr>
      </w:pPr>
    </w:p>
    <w:p w14:paraId="2B5B89C5" w14:textId="77777777" w:rsidR="00F165F8" w:rsidRPr="006028FE" w:rsidRDefault="00F165F8" w:rsidP="00F165F8">
      <w:pPr>
        <w:shd w:val="clear" w:color="auto" w:fill="FFFFFF"/>
        <w:spacing w:after="0" w:line="288" w:lineRule="atLeast"/>
        <w:outlineLvl w:val="0"/>
        <w:rPr>
          <w:rFonts w:ascii="Georgia" w:eastAsia="Times New Roman" w:hAnsi="Georgia" w:cs="Times New Roman"/>
          <w:b/>
          <w:kern w:val="36"/>
          <w:sz w:val="32"/>
          <w:szCs w:val="32"/>
        </w:rPr>
      </w:pPr>
      <w:r w:rsidRPr="006028FE">
        <w:rPr>
          <w:rFonts w:ascii="Georgia" w:eastAsia="Times New Roman" w:hAnsi="Georgia" w:cs="Times New Roman"/>
          <w:b/>
          <w:kern w:val="36"/>
        </w:rPr>
        <w:t xml:space="preserve">South Chittenden River Watch </w:t>
      </w:r>
      <w:r w:rsidR="00F71DFC" w:rsidRPr="006028FE">
        <w:rPr>
          <w:rFonts w:ascii="Georgia" w:eastAsia="Times New Roman" w:hAnsi="Georgia" w:cs="Times New Roman"/>
          <w:b/>
          <w:kern w:val="36"/>
        </w:rPr>
        <w:t xml:space="preserve">                                </w:t>
      </w:r>
      <w:r w:rsidRPr="006028FE">
        <w:rPr>
          <w:rFonts w:ascii="Georgia" w:eastAsia="Times New Roman" w:hAnsi="Georgia" w:cs="Times New Roman"/>
          <w:b/>
          <w:kern w:val="36"/>
        </w:rPr>
        <w:t xml:space="preserve">  </w:t>
      </w:r>
    </w:p>
    <w:p w14:paraId="71C113B2" w14:textId="77777777" w:rsidR="00F71DFC" w:rsidRDefault="001C27DD" w:rsidP="00F71DFC">
      <w:pPr>
        <w:pStyle w:val="ListParagraph"/>
        <w:shd w:val="clear" w:color="auto" w:fill="FFFFFF"/>
        <w:spacing w:after="100" w:afterAutospacing="1" w:line="240" w:lineRule="auto"/>
        <w:rPr>
          <w:rFonts w:ascii="Georgia" w:eastAsia="Times New Roman" w:hAnsi="Georgia" w:cs="Times New Roman"/>
        </w:rPr>
      </w:pPr>
      <w:r>
        <w:rPr>
          <w:rFonts w:ascii="Georgia" w:eastAsia="Times New Roman" w:hAnsi="Georgia" w:cs="Times New Roman"/>
          <w:noProof/>
        </w:rPr>
        <w:drawing>
          <wp:anchor distT="0" distB="0" distL="114300" distR="114300" simplePos="0" relativeHeight="251665408" behindDoc="0" locked="0" layoutInCell="1" allowOverlap="1" wp14:anchorId="4C6227A4" wp14:editId="6C97A53A">
            <wp:simplePos x="0" y="0"/>
            <wp:positionH relativeFrom="column">
              <wp:posOffset>-76200</wp:posOffset>
            </wp:positionH>
            <wp:positionV relativeFrom="paragraph">
              <wp:posOffset>168275</wp:posOffset>
            </wp:positionV>
            <wp:extent cx="2782570" cy="3619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CabesBrooksamplingstations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2570" cy="3619500"/>
                    </a:xfrm>
                    <a:prstGeom prst="rect">
                      <a:avLst/>
                    </a:prstGeom>
                  </pic:spPr>
                </pic:pic>
              </a:graphicData>
            </a:graphic>
          </wp:anchor>
        </w:drawing>
      </w:r>
    </w:p>
    <w:p w14:paraId="171D784C" w14:textId="77777777" w:rsidR="00F165F8" w:rsidRPr="00F71DFC" w:rsidRDefault="00F165F8" w:rsidP="007143CE">
      <w:pPr>
        <w:pStyle w:val="ListParagraph"/>
        <w:numPr>
          <w:ilvl w:val="0"/>
          <w:numId w:val="3"/>
        </w:numPr>
        <w:shd w:val="clear" w:color="auto" w:fill="FFFFFF"/>
        <w:spacing w:after="100" w:afterAutospacing="1" w:line="240" w:lineRule="auto"/>
        <w:rPr>
          <w:rFonts w:ascii="Georgia" w:eastAsia="Times New Roman" w:hAnsi="Georgia" w:cs="Times New Roman"/>
        </w:rPr>
      </w:pPr>
      <w:r w:rsidRPr="00F71DFC">
        <w:rPr>
          <w:rFonts w:ascii="Georgia" w:eastAsia="Times New Roman" w:hAnsi="Georgia" w:cs="Times New Roman"/>
        </w:rPr>
        <w:t xml:space="preserve">The South Chittenden River Watch (SCRW) is a volunteer group that has been monitoring water quality in four watersheds in southern Chittenden County since 2004. </w:t>
      </w:r>
    </w:p>
    <w:p w14:paraId="609CACFC" w14:textId="77777777" w:rsidR="00F165F8" w:rsidRPr="00F71DFC" w:rsidRDefault="00F165F8" w:rsidP="001C7054">
      <w:pPr>
        <w:pStyle w:val="ListParagraph"/>
        <w:numPr>
          <w:ilvl w:val="0"/>
          <w:numId w:val="3"/>
        </w:numPr>
        <w:shd w:val="clear" w:color="auto" w:fill="FFFFFF"/>
        <w:spacing w:after="100" w:afterAutospacing="1" w:line="240" w:lineRule="auto"/>
        <w:rPr>
          <w:rFonts w:ascii="Georgia" w:eastAsia="Times New Roman" w:hAnsi="Georgia" w:cs="Times New Roman"/>
        </w:rPr>
      </w:pPr>
      <w:r w:rsidRPr="00F71DFC">
        <w:rPr>
          <w:rFonts w:ascii="Georgia" w:eastAsia="Times New Roman" w:hAnsi="Georgia" w:cs="Times New Roman"/>
        </w:rPr>
        <w:t>Long term trends are tracked at a sub-watershed scale using over 30 monitoring sites (about 15 monitored per year). </w:t>
      </w:r>
    </w:p>
    <w:p w14:paraId="75A53448" w14:textId="77777777" w:rsidR="00F165F8" w:rsidRPr="00F71DFC" w:rsidRDefault="00F165F8" w:rsidP="007143CE">
      <w:pPr>
        <w:pStyle w:val="ListParagraph"/>
        <w:numPr>
          <w:ilvl w:val="0"/>
          <w:numId w:val="3"/>
        </w:numPr>
        <w:shd w:val="clear" w:color="auto" w:fill="FFFFFF"/>
        <w:spacing w:after="100" w:afterAutospacing="1" w:line="240" w:lineRule="auto"/>
        <w:rPr>
          <w:rFonts w:ascii="Georgia" w:eastAsia="Times New Roman" w:hAnsi="Georgia" w:cs="Times New Roman"/>
        </w:rPr>
      </w:pPr>
      <w:r w:rsidRPr="00F71DFC">
        <w:rPr>
          <w:rFonts w:ascii="Georgia" w:eastAsia="Times New Roman" w:hAnsi="Georgia" w:cs="Times New Roman"/>
        </w:rPr>
        <w:t xml:space="preserve">Results are used to understand baseline water quality conditions, determine effectiveness of "Best Management Practices", and identify hot spot phosphorus loading and critical source area locations in need of remediation recommendations and investments. </w:t>
      </w:r>
    </w:p>
    <w:p w14:paraId="5DD3AE35" w14:textId="77777777" w:rsidR="00F165F8" w:rsidRPr="00F71DFC" w:rsidRDefault="00F165F8" w:rsidP="007143CE">
      <w:pPr>
        <w:pStyle w:val="ListParagraph"/>
        <w:numPr>
          <w:ilvl w:val="0"/>
          <w:numId w:val="3"/>
        </w:numPr>
        <w:shd w:val="clear" w:color="auto" w:fill="FFFFFF"/>
        <w:spacing w:after="100" w:afterAutospacing="1" w:line="240" w:lineRule="auto"/>
        <w:rPr>
          <w:rFonts w:ascii="Georgia" w:eastAsia="Times New Roman" w:hAnsi="Georgia" w:cs="Times New Roman"/>
        </w:rPr>
      </w:pPr>
      <w:r w:rsidRPr="00F71DFC">
        <w:rPr>
          <w:rFonts w:ascii="Georgia" w:eastAsia="Times New Roman" w:hAnsi="Georgia" w:cs="Times New Roman"/>
        </w:rPr>
        <w:t>LCA, towns, and citizens rely on SCRW monitoring data results to understand stream water quality conditions under current regulations, inform education outreach efforts, town plan and regulations updates, regional plan updates, monitor effectiveness of storm water practices and sewer treatment systems and to inform optimal conservation practices designs for water quality improvement projects. </w:t>
      </w:r>
    </w:p>
    <w:p w14:paraId="1CCF116E" w14:textId="77777777" w:rsidR="00E05F4E" w:rsidRDefault="00E05F4E">
      <w:pPr>
        <w:rPr>
          <w:rFonts w:ascii="Georgia" w:hAnsi="Georgia"/>
          <w:b/>
          <w:noProof/>
        </w:rPr>
      </w:pPr>
    </w:p>
    <w:p w14:paraId="4EDC6B32" w14:textId="114FB8E4" w:rsidR="00734624" w:rsidRPr="006028FE" w:rsidRDefault="000F74D8">
      <w:pPr>
        <w:rPr>
          <w:rFonts w:ascii="Georgia" w:hAnsi="Georgia"/>
          <w:b/>
        </w:rPr>
      </w:pPr>
      <w:r>
        <w:rPr>
          <w:rFonts w:ascii="Georgia" w:hAnsi="Georgia"/>
          <w:b/>
          <w:noProof/>
        </w:rPr>
        <w:t>McCabe’s Brook</w:t>
      </w:r>
      <w:r w:rsidR="00F165F8" w:rsidRPr="006028FE">
        <w:rPr>
          <w:rFonts w:ascii="Georgia" w:hAnsi="Georgia"/>
          <w:b/>
        </w:rPr>
        <w:t xml:space="preserve"> Results</w:t>
      </w:r>
    </w:p>
    <w:p w14:paraId="79094CE1" w14:textId="4C6DDCF5" w:rsidR="003F0E9E" w:rsidRDefault="000F3AB1" w:rsidP="001C7054">
      <w:pPr>
        <w:pStyle w:val="ListParagraph"/>
        <w:numPr>
          <w:ilvl w:val="0"/>
          <w:numId w:val="4"/>
        </w:numPr>
        <w:rPr>
          <w:rFonts w:ascii="Georgia" w:hAnsi="Georgia"/>
        </w:rPr>
      </w:pPr>
      <w:r>
        <w:rPr>
          <w:rFonts w:ascii="Georgia" w:hAnsi="Georgia"/>
          <w:noProof/>
        </w:rPr>
        <mc:AlternateContent>
          <mc:Choice Requires="wps">
            <w:drawing>
              <wp:anchor distT="45720" distB="45720" distL="114300" distR="114300" simplePos="0" relativeHeight="251664384" behindDoc="0" locked="0" layoutInCell="1" allowOverlap="1" wp14:anchorId="10AA9C6E" wp14:editId="3320FFD2">
                <wp:simplePos x="0" y="0"/>
                <wp:positionH relativeFrom="column">
                  <wp:posOffset>4130040</wp:posOffset>
                </wp:positionH>
                <wp:positionV relativeFrom="paragraph">
                  <wp:posOffset>90170</wp:posOffset>
                </wp:positionV>
                <wp:extent cx="1752600" cy="2743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4320"/>
                        </a:xfrm>
                        <a:prstGeom prst="rect">
                          <a:avLst/>
                        </a:prstGeom>
                        <a:solidFill>
                          <a:srgbClr val="FFFFFF"/>
                        </a:solidFill>
                        <a:ln w="9525">
                          <a:solidFill>
                            <a:srgbClr val="000000"/>
                          </a:solidFill>
                          <a:miter lim="800000"/>
                          <a:headEnd/>
                          <a:tailEnd/>
                        </a:ln>
                      </wps:spPr>
                      <wps:txbx>
                        <w:txbxContent>
                          <w:p w14:paraId="6D01110A" w14:textId="77777777" w:rsidR="007143CE" w:rsidRPr="007143CE" w:rsidRDefault="007143CE">
                            <w:pPr>
                              <w:rPr>
                                <w:rFonts w:ascii="Georgia" w:hAnsi="Georgia"/>
                                <w:i/>
                                <w:sz w:val="20"/>
                                <w:szCs w:val="20"/>
                              </w:rPr>
                            </w:pPr>
                            <w:r w:rsidRPr="007143CE">
                              <w:rPr>
                                <w:rFonts w:ascii="Georgia" w:hAnsi="Georgia"/>
                                <w:i/>
                                <w:sz w:val="20"/>
                                <w:szCs w:val="20"/>
                              </w:rPr>
                              <w:t>Phosphorus Loading - 2017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A9C6E" id="_x0000_t202" coordsize="21600,21600" o:spt="202" path="m,l,21600r21600,l21600,xe">
                <v:stroke joinstyle="miter"/>
                <v:path gradientshapeok="t" o:connecttype="rect"/>
              </v:shapetype>
              <v:shape id="Text Box 2" o:spid="_x0000_s1026" type="#_x0000_t202" style="position:absolute;left:0;text-align:left;margin-left:325.2pt;margin-top:7.1pt;width:138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">
                <v:textbox>
                  <w:txbxContent>
                    <w:p w14:paraId="6D01110A" w14:textId="77777777" w:rsidR="007143CE" w:rsidRPr="007143CE" w:rsidRDefault="007143CE">
                      <w:pPr>
                        <w:rPr>
                          <w:rFonts w:ascii="Georgia" w:hAnsi="Georgia"/>
                          <w:i/>
                          <w:sz w:val="20"/>
                          <w:szCs w:val="20"/>
                        </w:rPr>
                      </w:pPr>
                      <w:r w:rsidRPr="007143CE">
                        <w:rPr>
                          <w:rFonts w:ascii="Georgia" w:hAnsi="Georgia"/>
                          <w:i/>
                          <w:sz w:val="20"/>
                          <w:szCs w:val="20"/>
                        </w:rPr>
                        <w:t>Phosphorus Loading - 2017</w:t>
                      </w:r>
                    </w:p>
                  </w:txbxContent>
                </v:textbox>
                <w10:wrap type="square"/>
              </v:shape>
            </w:pict>
          </mc:Fallback>
        </mc:AlternateContent>
      </w:r>
      <w:r w:rsidR="00DB7E14">
        <w:rPr>
          <w:rFonts w:ascii="Georgia" w:hAnsi="Georgia"/>
          <w:noProof/>
        </w:rPr>
        <w:t>McCabe’s Brook</w:t>
      </w:r>
      <w:r w:rsidR="00F71DFC" w:rsidRPr="00F71DFC">
        <w:rPr>
          <w:rFonts w:ascii="Georgia" w:hAnsi="Georgia"/>
        </w:rPr>
        <w:t xml:space="preserve"> </w:t>
      </w:r>
      <w:r w:rsidR="007D137B">
        <w:rPr>
          <w:rFonts w:ascii="Georgia" w:hAnsi="Georgia"/>
        </w:rPr>
        <w:t>remains</w:t>
      </w:r>
      <w:r w:rsidR="00F71DFC" w:rsidRPr="00F71DFC">
        <w:rPr>
          <w:rFonts w:ascii="Georgia" w:hAnsi="Georgia"/>
        </w:rPr>
        <w:t xml:space="preserve"> stressed due to sediment and phosphorus loading</w:t>
      </w:r>
    </w:p>
    <w:p w14:paraId="74D74D45" w14:textId="77777777" w:rsidR="004B097E" w:rsidRPr="00F71DFC" w:rsidRDefault="004B097E" w:rsidP="001C7054">
      <w:pPr>
        <w:pStyle w:val="ListParagraph"/>
        <w:numPr>
          <w:ilvl w:val="0"/>
          <w:numId w:val="4"/>
        </w:numPr>
        <w:rPr>
          <w:rFonts w:ascii="Georgia" w:hAnsi="Georgia"/>
        </w:rPr>
      </w:pPr>
      <w:r>
        <w:rPr>
          <w:rFonts w:ascii="Georgia" w:hAnsi="Georgia"/>
        </w:rPr>
        <w:t>Nitrogen and chloride are consistently below State standards</w:t>
      </w:r>
    </w:p>
    <w:p w14:paraId="02BC41E3" w14:textId="77777777" w:rsidR="00F71DFC" w:rsidRDefault="00F71DFC" w:rsidP="001C7054">
      <w:pPr>
        <w:pStyle w:val="ListParagraph"/>
        <w:numPr>
          <w:ilvl w:val="0"/>
          <w:numId w:val="4"/>
        </w:numPr>
        <w:rPr>
          <w:rFonts w:ascii="Georgia" w:hAnsi="Georgia"/>
        </w:rPr>
      </w:pPr>
      <w:r w:rsidRPr="00F71DFC">
        <w:rPr>
          <w:rFonts w:ascii="Georgia" w:hAnsi="Georgia"/>
        </w:rPr>
        <w:t>Phosphorus consistently exceeds the state standard during low flow conditions</w:t>
      </w:r>
    </w:p>
    <w:p w14:paraId="0B3851A6" w14:textId="2DC27E1E" w:rsidR="00EB5823" w:rsidRDefault="007D137B" w:rsidP="001C7054">
      <w:pPr>
        <w:pStyle w:val="ListParagraph"/>
        <w:numPr>
          <w:ilvl w:val="0"/>
          <w:numId w:val="4"/>
        </w:numPr>
        <w:rPr>
          <w:rFonts w:ascii="Georgia" w:hAnsi="Georgia"/>
        </w:rPr>
      </w:pPr>
      <w:r>
        <w:rPr>
          <w:rFonts w:ascii="Georgia" w:hAnsi="Georgia"/>
          <w:i/>
          <w:noProof/>
        </w:rPr>
        <w:drawing>
          <wp:anchor distT="0" distB="0" distL="114300" distR="114300" simplePos="0" relativeHeight="251660288" behindDoc="0" locked="0" layoutInCell="1" allowOverlap="1" wp14:anchorId="7C3FF343" wp14:editId="05F4F752">
            <wp:simplePos x="0" y="0"/>
            <wp:positionH relativeFrom="margin">
              <wp:posOffset>2740025</wp:posOffset>
            </wp:positionH>
            <wp:positionV relativeFrom="paragraph">
              <wp:posOffset>-912495</wp:posOffset>
            </wp:positionV>
            <wp:extent cx="3178175" cy="26670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sphorusLoadingMap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8175" cy="2667000"/>
                    </a:xfrm>
                    <a:prstGeom prst="rect">
                      <a:avLst/>
                    </a:prstGeom>
                  </pic:spPr>
                </pic:pic>
              </a:graphicData>
            </a:graphic>
          </wp:anchor>
        </w:drawing>
      </w:r>
      <w:r w:rsidR="00EB5823">
        <w:rPr>
          <w:rFonts w:ascii="Georgia" w:hAnsi="Georgia"/>
        </w:rPr>
        <w:t>Phosphorus concentrations increase going downstream (toward Shelburne Bay) and are highest at Harbor Road</w:t>
      </w:r>
    </w:p>
    <w:p w14:paraId="0AA0F8EB" w14:textId="71CE1A13" w:rsidR="00E05F4E" w:rsidRDefault="00E05F4E" w:rsidP="00E05F4E">
      <w:pPr>
        <w:rPr>
          <w:rFonts w:ascii="Georgia" w:hAnsi="Georgia"/>
        </w:rPr>
      </w:pPr>
    </w:p>
    <w:p w14:paraId="5C7A0EE6" w14:textId="77777777" w:rsidR="00E05F4E" w:rsidRPr="00E05F4E" w:rsidRDefault="00E05F4E" w:rsidP="00E05F4E">
      <w:pPr>
        <w:rPr>
          <w:rFonts w:ascii="Georgia" w:hAnsi="Georgia"/>
        </w:rPr>
      </w:pPr>
    </w:p>
    <w:p w14:paraId="519A7FB3" w14:textId="26CBAFE3" w:rsidR="00E05F4E" w:rsidRPr="002565C5" w:rsidRDefault="001F67A8" w:rsidP="00E05F4E">
      <w:pPr>
        <w:pStyle w:val="ListParagraph"/>
        <w:numPr>
          <w:ilvl w:val="0"/>
          <w:numId w:val="4"/>
        </w:numPr>
        <w:rPr>
          <w:rFonts w:ascii="Georgia" w:hAnsi="Georgia"/>
        </w:rPr>
      </w:pPr>
      <w:r w:rsidRPr="002565C5">
        <w:rPr>
          <w:rFonts w:ascii="Georgia" w:hAnsi="Georgia"/>
        </w:rPr>
        <w:lastRenderedPageBreak/>
        <w:t xml:space="preserve">McCabe’s Brook has poor stream channel stability between </w:t>
      </w:r>
      <w:r w:rsidR="002565C5" w:rsidRPr="002565C5">
        <w:rPr>
          <w:rFonts w:ascii="Georgia" w:hAnsi="Georgia"/>
        </w:rPr>
        <w:t>the its intersection with School Street at Harbor Road</w:t>
      </w:r>
      <w:r w:rsidR="00E05F4E" w:rsidRPr="002565C5">
        <w:rPr>
          <w:rFonts w:ascii="Georgia" w:hAnsi="Georgia"/>
        </w:rPr>
        <w:t xml:space="preserve"> and</w:t>
      </w:r>
      <w:r w:rsidR="002565C5" w:rsidRPr="002565C5">
        <w:rPr>
          <w:rFonts w:ascii="Georgia" w:hAnsi="Georgia"/>
        </w:rPr>
        <w:t xml:space="preserve"> its intersection at</w:t>
      </w:r>
      <w:r w:rsidR="00E05F4E" w:rsidRPr="002565C5">
        <w:rPr>
          <w:rFonts w:ascii="Georgia" w:hAnsi="Georgia"/>
        </w:rPr>
        <w:t xml:space="preserve"> </w:t>
      </w:r>
      <w:r w:rsidR="002565C5" w:rsidRPr="002565C5">
        <w:rPr>
          <w:rFonts w:ascii="Georgia" w:hAnsi="Georgia"/>
        </w:rPr>
        <w:t xml:space="preserve">Vermont Teddy Bear Factory on </w:t>
      </w:r>
      <w:r w:rsidR="00E05F4E" w:rsidRPr="002565C5">
        <w:rPr>
          <w:rFonts w:ascii="Georgia" w:hAnsi="Georgia"/>
        </w:rPr>
        <w:t>Route 7</w:t>
      </w:r>
    </w:p>
    <w:p w14:paraId="2F21C96D" w14:textId="77777777" w:rsidR="001F67A8" w:rsidRPr="00EB5823" w:rsidRDefault="001F67A8" w:rsidP="00EB5823">
      <w:pPr>
        <w:rPr>
          <w:rFonts w:ascii="Georgia" w:hAnsi="Georgia"/>
        </w:rPr>
      </w:pPr>
    </w:p>
    <w:p w14:paraId="3E391471" w14:textId="166ADB9A" w:rsidR="00E05F4E" w:rsidRPr="006028FE" w:rsidRDefault="00E05F4E" w:rsidP="00E05F4E">
      <w:pPr>
        <w:rPr>
          <w:rFonts w:ascii="Georgia" w:hAnsi="Georgia"/>
        </w:rPr>
      </w:pPr>
      <w:r w:rsidRPr="002565C5">
        <w:rPr>
          <w:rFonts w:ascii="Georgia" w:hAnsi="Georgia"/>
          <w:b/>
        </w:rPr>
        <w:t xml:space="preserve">Tracking the Biological Health </w:t>
      </w:r>
      <w:r w:rsidR="002565C5" w:rsidRPr="002565C5">
        <w:rPr>
          <w:rFonts w:ascii="Georgia" w:hAnsi="Georgia"/>
          <w:b/>
        </w:rPr>
        <w:t xml:space="preserve">and Aquatic Habitat </w:t>
      </w:r>
      <w:r w:rsidRPr="002565C5">
        <w:rPr>
          <w:rFonts w:ascii="Georgia" w:hAnsi="Georgia"/>
          <w:b/>
        </w:rPr>
        <w:t>of Streams</w:t>
      </w:r>
    </w:p>
    <w:p w14:paraId="688C5582" w14:textId="77777777" w:rsidR="007D137B" w:rsidRDefault="007D137B" w:rsidP="007D137B">
      <w:pPr>
        <w:rPr>
          <w:rFonts w:ascii="Georgia" w:hAnsi="Georgia"/>
          <w:i/>
        </w:rPr>
      </w:pPr>
      <w:r w:rsidRPr="00943733">
        <w:rPr>
          <w:rFonts w:ascii="Georgia" w:hAnsi="Georgia"/>
        </w:rPr>
        <w:t>Seventeen of Vermont’s waters are biologically impaired due to urban stormwater runoff; six of those are in Basin 5 (northern Lake Champlain drainage), including the LaPlatte.</w:t>
      </w:r>
      <w:r>
        <w:rPr>
          <w:rFonts w:ascii="Georgia" w:hAnsi="Georgia"/>
        </w:rPr>
        <w:t xml:space="preserve"> </w:t>
      </w:r>
      <w:r w:rsidRPr="00943733">
        <w:rPr>
          <w:rFonts w:ascii="Georgia" w:hAnsi="Georgia"/>
        </w:rPr>
        <w:t>These waters fail to meet certain Vermont Water Quality Standards and are trending toward poor biological conditions based on biological monitoring data. Poor biological conditions due to stormwater impacts lead to stormwater impairment status (state/fed 303(d) list) and a required restoration plan that could cost millions of dollars to host towns.</w:t>
      </w:r>
      <w:r>
        <w:rPr>
          <w:rFonts w:ascii="Georgia" w:hAnsi="Georgia"/>
        </w:rPr>
        <w:t xml:space="preserve"> This is an indicator of where better land use planning should occur.</w:t>
      </w:r>
      <w:r w:rsidRPr="00943733">
        <w:rPr>
          <w:rFonts w:ascii="Georgia" w:hAnsi="Georgia"/>
        </w:rPr>
        <w:t xml:space="preserve"> Currently, the Munroe Brook in Shelburne is listed as stormwater impaired. Sections of the LaPlatte River also have poor biology conditions and are being studied by VT DEC, Lewis Creek Association and Lake Iroquois Association</w:t>
      </w:r>
      <w:r w:rsidRPr="00943733">
        <w:rPr>
          <w:rFonts w:ascii="Georgia" w:hAnsi="Georgia"/>
          <w:i/>
        </w:rPr>
        <w:t>.</w:t>
      </w:r>
      <w:r w:rsidRPr="00872C4A">
        <w:rPr>
          <w:rFonts w:ascii="Georgia" w:hAnsi="Georgia"/>
          <w:i/>
        </w:rPr>
        <w:t xml:space="preserve"> </w:t>
      </w:r>
    </w:p>
    <w:p w14:paraId="40B0DE7D" w14:textId="77777777" w:rsidR="007D137B" w:rsidRDefault="007D137B" w:rsidP="00E05F4E">
      <w:pPr>
        <w:rPr>
          <w:rFonts w:ascii="Georgia" w:hAnsi="Georgia"/>
        </w:rPr>
      </w:pPr>
    </w:p>
    <w:p w14:paraId="4C92C97F" w14:textId="6AB959A7" w:rsidR="006E1879" w:rsidRPr="006028FE" w:rsidRDefault="006E1879" w:rsidP="00E05F4E">
      <w:pPr>
        <w:rPr>
          <w:rFonts w:ascii="Georgia" w:hAnsi="Georgia"/>
        </w:rPr>
      </w:pPr>
      <w:bookmarkStart w:id="0" w:name="_GoBack"/>
      <w:bookmarkEnd w:id="0"/>
    </w:p>
    <w:sectPr w:rsidR="006E1879" w:rsidRPr="006028FE" w:rsidSect="000D38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16B62" w14:textId="77777777" w:rsidR="0090177F" w:rsidRDefault="0090177F" w:rsidP="007D137B">
      <w:pPr>
        <w:spacing w:after="0" w:line="240" w:lineRule="auto"/>
      </w:pPr>
      <w:r>
        <w:separator/>
      </w:r>
    </w:p>
  </w:endnote>
  <w:endnote w:type="continuationSeparator" w:id="0">
    <w:p w14:paraId="1B230D53" w14:textId="77777777" w:rsidR="0090177F" w:rsidRDefault="0090177F" w:rsidP="007D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CB06" w14:textId="39F5C4F0" w:rsidR="007D137B" w:rsidRDefault="007D137B">
    <w:pPr>
      <w:pStyle w:val="Footer"/>
    </w:pPr>
    <w:r>
      <w:t>Last updated September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39F5" w14:textId="77777777" w:rsidR="0090177F" w:rsidRDefault="0090177F" w:rsidP="007D137B">
      <w:pPr>
        <w:spacing w:after="0" w:line="240" w:lineRule="auto"/>
      </w:pPr>
      <w:r>
        <w:separator/>
      </w:r>
    </w:p>
  </w:footnote>
  <w:footnote w:type="continuationSeparator" w:id="0">
    <w:p w14:paraId="07824855" w14:textId="77777777" w:rsidR="0090177F" w:rsidRDefault="0090177F" w:rsidP="007D1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FF7"/>
    <w:multiLevelType w:val="hybridMultilevel"/>
    <w:tmpl w:val="BC7EA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074E0"/>
    <w:multiLevelType w:val="hybridMultilevel"/>
    <w:tmpl w:val="EDA8D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8443B"/>
    <w:multiLevelType w:val="hybridMultilevel"/>
    <w:tmpl w:val="93D6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71D59"/>
    <w:multiLevelType w:val="hybridMultilevel"/>
    <w:tmpl w:val="13725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2C"/>
    <w:rsid w:val="000C3D55"/>
    <w:rsid w:val="000D3823"/>
    <w:rsid w:val="000F3A54"/>
    <w:rsid w:val="000F3AB1"/>
    <w:rsid w:val="000F74D8"/>
    <w:rsid w:val="001C27DD"/>
    <w:rsid w:val="001C7054"/>
    <w:rsid w:val="001F67A8"/>
    <w:rsid w:val="002479BF"/>
    <w:rsid w:val="002565C5"/>
    <w:rsid w:val="002E1DBD"/>
    <w:rsid w:val="00390715"/>
    <w:rsid w:val="003F0E9E"/>
    <w:rsid w:val="004B097E"/>
    <w:rsid w:val="00513448"/>
    <w:rsid w:val="0053553F"/>
    <w:rsid w:val="006028FE"/>
    <w:rsid w:val="006E1879"/>
    <w:rsid w:val="006E6991"/>
    <w:rsid w:val="007143CE"/>
    <w:rsid w:val="00740DE1"/>
    <w:rsid w:val="007B2FC1"/>
    <w:rsid w:val="007D137B"/>
    <w:rsid w:val="008E0A94"/>
    <w:rsid w:val="0090177F"/>
    <w:rsid w:val="00946F6A"/>
    <w:rsid w:val="009B31BC"/>
    <w:rsid w:val="00A15F48"/>
    <w:rsid w:val="00A86CB3"/>
    <w:rsid w:val="00B973E0"/>
    <w:rsid w:val="00DB4679"/>
    <w:rsid w:val="00DB7E14"/>
    <w:rsid w:val="00E05F4E"/>
    <w:rsid w:val="00E24C61"/>
    <w:rsid w:val="00EB5823"/>
    <w:rsid w:val="00F165F8"/>
    <w:rsid w:val="00F6472C"/>
    <w:rsid w:val="00F7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FB15"/>
  <w15:docId w15:val="{87EEFE2D-2965-40E2-8E47-7E3085F5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F8"/>
    <w:pPr>
      <w:ind w:left="720"/>
      <w:contextualSpacing/>
    </w:pPr>
  </w:style>
  <w:style w:type="paragraph" w:styleId="BalloonText">
    <w:name w:val="Balloon Text"/>
    <w:basedOn w:val="Normal"/>
    <w:link w:val="BalloonTextChar"/>
    <w:uiPriority w:val="99"/>
    <w:semiHidden/>
    <w:unhideWhenUsed/>
    <w:rsid w:val="006E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91"/>
    <w:rPr>
      <w:rFonts w:ascii="Tahoma" w:hAnsi="Tahoma" w:cs="Tahoma"/>
      <w:sz w:val="16"/>
      <w:szCs w:val="16"/>
    </w:rPr>
  </w:style>
  <w:style w:type="paragraph" w:styleId="Header">
    <w:name w:val="header"/>
    <w:basedOn w:val="Normal"/>
    <w:link w:val="HeaderChar"/>
    <w:uiPriority w:val="99"/>
    <w:unhideWhenUsed/>
    <w:rsid w:val="007D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7B"/>
  </w:style>
  <w:style w:type="paragraph" w:styleId="Footer">
    <w:name w:val="footer"/>
    <w:basedOn w:val="Normal"/>
    <w:link w:val="FooterChar"/>
    <w:uiPriority w:val="99"/>
    <w:unhideWhenUsed/>
    <w:rsid w:val="007D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2</cp:revision>
  <dcterms:created xsi:type="dcterms:W3CDTF">2018-09-17T16:40:00Z</dcterms:created>
  <dcterms:modified xsi:type="dcterms:W3CDTF">2018-09-17T16:40:00Z</dcterms:modified>
</cp:coreProperties>
</file>